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jc w:val="center"/>
        <w:rPr>
          <w:rFonts w:ascii="Arial" w:cs="Arial" w:hAnsi="Arial" w:eastAsia="Arial"/>
          <w:i w:val="1"/>
          <w:iCs w:val="1"/>
          <w:sz w:val="20"/>
          <w:szCs w:val="20"/>
        </w:rPr>
      </w:pPr>
      <w:r>
        <w:rPr>
          <w:rFonts w:ascii="Arial"/>
          <w:i w:val="1"/>
          <w:iCs w:val="1"/>
          <w:sz w:val="20"/>
          <w:szCs w:val="20"/>
          <w:rtl w:val="0"/>
          <w:lang w:val="en-US"/>
        </w:rPr>
        <w:t>Mitosis and Meiosis Review for Test Stations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tab/>
        <w:tab/>
        <w:tab/>
        <w:tab/>
        <w:tab/>
        <w:tab/>
        <w:tab/>
        <w:tab/>
        <w:tab/>
        <w:tab/>
      </w:r>
      <w:r>
        <w:rPr>
          <w:rFonts w:ascii="Arial"/>
          <w:b w:val="1"/>
          <w:bCs w:val="1"/>
          <w:sz w:val="20"/>
          <w:szCs w:val="20"/>
          <w:rtl w:val="0"/>
          <w:lang w:val="en-US"/>
        </w:rPr>
        <w:t xml:space="preserve"> 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Subject</w:t>
      </w:r>
      <w:r>
        <w:rPr>
          <w:rFonts w:ascii="Arial"/>
          <w:sz w:val="20"/>
          <w:szCs w:val="20"/>
          <w:rtl w:val="0"/>
          <w:lang w:val="en-US"/>
        </w:rPr>
        <w:t xml:space="preserve">: Biology 1 </w:t>
        <w:tab/>
        <w:tab/>
        <w:tab/>
        <w:tab/>
        <w:tab/>
        <w:tab/>
        <w:tab/>
        <w:tab/>
        <w:tab/>
        <w:tab/>
      </w:r>
      <w:r>
        <w:rPr>
          <w:rFonts w:ascii="Arial"/>
          <w:b w:val="1"/>
          <w:bCs w:val="1"/>
          <w:sz w:val="20"/>
          <w:szCs w:val="20"/>
          <w:rtl w:val="0"/>
          <w:lang w:val="en-US"/>
        </w:rPr>
        <w:t>Date</w:t>
      </w:r>
      <w:r>
        <w:rPr>
          <w:rFonts w:ascii="Arial"/>
          <w:sz w:val="20"/>
          <w:szCs w:val="20"/>
          <w:rtl w:val="0"/>
          <w:lang w:val="en-US"/>
        </w:rPr>
        <w:t>: 1/16/2013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Objectives</w:t>
      </w:r>
      <w:r>
        <w:rPr>
          <w:rFonts w:ascii="Arial"/>
          <w:sz w:val="20"/>
          <w:szCs w:val="20"/>
          <w:rtl w:val="0"/>
          <w:lang w:val="en-US"/>
        </w:rPr>
        <w:t>:</w:t>
      </w:r>
    </w:p>
    <w:p>
      <w:pPr>
        <w:pStyle w:val="Normal"/>
        <w:numPr>
          <w:ilvl w:val="0"/>
          <w:numId w:val="3"/>
        </w:numPr>
        <w:tabs>
          <w:tab w:val="num" w:pos="72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  <w:r>
        <w:rPr>
          <w:rFonts w:ascii="Arial"/>
          <w:sz w:val="20"/>
          <w:szCs w:val="20"/>
          <w:rtl w:val="0"/>
          <w:lang w:val="en-US"/>
        </w:rPr>
        <w:t>TSW review the learning objectives covering mitosis and meiosis for the review section of Friday</w:t>
      </w:r>
      <w:r>
        <w:rPr>
          <w:rFonts w:hAnsi="Arial" w:hint="default"/>
          <w:sz w:val="20"/>
          <w:szCs w:val="20"/>
          <w:rtl w:val="0"/>
          <w:lang w:val="en-US"/>
        </w:rPr>
        <w:t>’</w:t>
      </w:r>
      <w:r>
        <w:rPr>
          <w:rFonts w:ascii="Arial"/>
          <w:sz w:val="20"/>
          <w:szCs w:val="20"/>
          <w:rtl w:val="0"/>
          <w:lang w:val="en-US"/>
        </w:rPr>
        <w:t>s test (4bDOK2).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Materials</w:t>
      </w:r>
      <w:r>
        <w:rPr>
          <w:rFonts w:ascii="Arial"/>
          <w:sz w:val="20"/>
          <w:szCs w:val="20"/>
          <w:rtl w:val="0"/>
          <w:lang w:val="en-US"/>
        </w:rPr>
        <w:t>:</w:t>
      </w:r>
    </w:p>
    <w:p>
      <w:pPr>
        <w:pStyle w:val="Normal"/>
        <w:numPr>
          <w:ilvl w:val="0"/>
          <w:numId w:val="6"/>
        </w:numPr>
        <w:tabs>
          <w:tab w:val="num" w:pos="720"/>
          <w:tab w:val="left" w:pos="675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  <w:r>
        <w:rPr>
          <w:rFonts w:ascii="Arial"/>
          <w:sz w:val="20"/>
          <w:szCs w:val="20"/>
          <w:rtl w:val="0"/>
          <w:lang w:val="en-US"/>
        </w:rPr>
        <w:t>Dry erase markers, keynote, review worksheets</w:t>
      </w:r>
    </w:p>
    <w:p>
      <w:pPr>
        <w:pStyle w:val="Normal"/>
        <w:tabs>
          <w:tab w:val="left" w:pos="720"/>
          <w:tab w:val="left" w:pos="6750"/>
        </w:tabs>
        <w:rPr>
          <w:rFonts w:ascii="Arial" w:cs="Arial" w:hAnsi="Arial" w:eastAsia="Arial"/>
          <w:sz w:val="20"/>
          <w:szCs w:val="20"/>
        </w:rPr>
      </w:pP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Bell Ringer</w:t>
      </w:r>
      <w:r>
        <w:rPr>
          <w:rFonts w:ascii="Arial"/>
          <w:sz w:val="20"/>
          <w:szCs w:val="20"/>
          <w:rtl w:val="0"/>
          <w:lang w:val="en-US"/>
        </w:rPr>
        <w:t xml:space="preserve"> (8 minutes):</w:t>
      </w:r>
    </w:p>
    <w:p>
      <w:pPr>
        <w:pStyle w:val="Normal"/>
        <w:numPr>
          <w:ilvl w:val="0"/>
          <w:numId w:val="7"/>
        </w:numPr>
        <w:tabs>
          <w:tab w:val="num" w:pos="72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</w:p>
    <w:p>
      <w:pPr>
        <w:pStyle w:val="Normal"/>
        <w:tabs>
          <w:tab w:val="left" w:pos="720"/>
        </w:tabs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Procedures</w:t>
      </w:r>
      <w:r>
        <w:rPr>
          <w:rFonts w:ascii="Arial"/>
          <w:sz w:val="20"/>
          <w:szCs w:val="20"/>
          <w:rtl w:val="0"/>
          <w:lang w:val="en-US"/>
        </w:rPr>
        <w:t xml:space="preserve"> (40 minutes):</w:t>
      </w:r>
    </w:p>
    <w:p>
      <w:pPr>
        <w:pStyle w:val="Normal"/>
        <w:numPr>
          <w:ilvl w:val="0"/>
          <w:numId w:val="8"/>
        </w:numPr>
        <w:tabs>
          <w:tab w:val="num" w:pos="72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  <w:r>
        <w:rPr>
          <w:rFonts w:ascii="Arial"/>
          <w:sz w:val="20"/>
          <w:szCs w:val="20"/>
          <w:rtl w:val="0"/>
          <w:lang w:val="en-US"/>
        </w:rPr>
        <w:t>4 minutes. TTW review procedures and expectations for working in stations and pair students.</w:t>
      </w:r>
    </w:p>
    <w:p>
      <w:pPr>
        <w:pStyle w:val="Normal"/>
        <w:numPr>
          <w:ilvl w:val="0"/>
          <w:numId w:val="9"/>
        </w:numPr>
        <w:tabs>
          <w:tab w:val="num" w:pos="72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  <w:r>
        <w:rPr>
          <w:rFonts w:ascii="Arial"/>
          <w:sz w:val="20"/>
          <w:szCs w:val="20"/>
          <w:rtl w:val="0"/>
          <w:lang w:val="en-US"/>
        </w:rPr>
        <w:t>36 minutes. TSW work in groups of 2-3 to complete the six station review worksheets together without using their notes. After 12 minutes, the students will rotate and the group will begin working on a new set of questions.</w:t>
      </w:r>
      <w:r>
        <w:rPr>
          <w:rFonts w:ascii="Arial" w:cs="Arial" w:hAnsi="Arial" w:eastAsia="Arial"/>
          <w:sz w:val="20"/>
          <w:szCs w:val="20"/>
        </w:rPr>
        <w:br w:type="textWrapping"/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Closure</w:t>
      </w:r>
      <w:r>
        <w:rPr>
          <w:rFonts w:ascii="Arial"/>
          <w:sz w:val="20"/>
          <w:szCs w:val="20"/>
          <w:rtl w:val="0"/>
          <w:lang w:val="en-US"/>
        </w:rPr>
        <w:t>:</w:t>
      </w:r>
    </w:p>
    <w:p>
      <w:pPr>
        <w:pStyle w:val="Normal"/>
        <w:numPr>
          <w:ilvl w:val="0"/>
          <w:numId w:val="10"/>
        </w:numPr>
        <w:tabs>
          <w:tab w:val="num" w:pos="72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  <w:r>
        <w:rPr>
          <w:rFonts w:ascii="Arial"/>
          <w:sz w:val="20"/>
          <w:szCs w:val="20"/>
          <w:rtl w:val="0"/>
          <w:lang w:val="en-US"/>
        </w:rPr>
        <w:t xml:space="preserve">TTW assess student understanding of mitosis and meiosis 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1879600</wp:posOffset>
            </wp:positionV>
            <wp:extent cx="3365500" cy="20193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oppedImage.png"/>
                    <pic:cNvPicPr/>
                  </pic:nvPicPr>
                  <pic:blipFill>
                    <a:blip r:embed="rId4">
                      <a:extLst/>
                    </a:blip>
                    <a:srcRect l="1820" t="485" r="1699" b="2233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sz w:val="20"/>
          <w:szCs w:val="20"/>
          <w:rtl w:val="0"/>
          <w:lang w:val="en-US"/>
        </w:rPr>
        <w:t>by reviewing the questions and answers to the worksheets as a class.</w:t>
      </w:r>
    </w:p>
    <w:p>
      <w:pPr>
        <w:pStyle w:val="Normal"/>
        <w:numPr>
          <w:ilvl w:val="0"/>
          <w:numId w:val="11"/>
        </w:numPr>
        <w:tabs>
          <w:tab w:val="num" w:pos="72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  <w:r>
        <w:rPr>
          <w:rFonts w:hAnsi="Arial" w:hint="default"/>
          <w:sz w:val="20"/>
          <w:szCs w:val="20"/>
          <w:rtl w:val="0"/>
          <w:lang w:val="en-US"/>
        </w:rPr>
        <w:t>“</w:t>
      </w:r>
      <w:r>
        <w:rPr>
          <w:rFonts w:ascii="Arial"/>
          <w:sz w:val="20"/>
          <w:szCs w:val="20"/>
          <w:rtl w:val="0"/>
          <w:lang w:val="en-US"/>
        </w:rPr>
        <w:t>Good job today with the review! Remember to study tonight. All of the review questions on the test will be covering mitosis and meiosis.</w:t>
      </w:r>
      <w:r>
        <w:rPr>
          <w:rFonts w:hAnsi="Arial" w:hint="default"/>
          <w:sz w:val="20"/>
          <w:szCs w:val="20"/>
          <w:rtl w:val="0"/>
          <w:lang w:val="en-US"/>
        </w:rPr>
        <w:t>”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Assessment/Evaluation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Objective</w:t>
      </w:r>
      <w:r>
        <w:rPr>
          <w:rFonts w:ascii="Arial"/>
          <w:sz w:val="20"/>
          <w:szCs w:val="20"/>
          <w:rtl w:val="0"/>
          <w:lang w:val="en-US"/>
        </w:rPr>
        <w:t xml:space="preserve">: </w:t>
      </w:r>
    </w:p>
    <w:p>
      <w:pPr>
        <w:pStyle w:val="Normal"/>
        <w:numPr>
          <w:ilvl w:val="0"/>
          <w:numId w:val="12"/>
        </w:numPr>
        <w:tabs>
          <w:tab w:val="num" w:pos="720"/>
          <w:tab w:val="clear" w:pos="660"/>
        </w:tabs>
        <w:ind w:left="720" w:hanging="360"/>
        <w:rPr>
          <w:rFonts w:ascii="Arial" w:cs="Arial" w:hAnsi="Arial" w:eastAsia="Arial"/>
          <w:position w:val="0"/>
          <w:sz w:val="20"/>
          <w:szCs w:val="20"/>
        </w:rPr>
      </w:pPr>
      <w:r>
        <w:rPr>
          <w:rFonts w:ascii="Arial"/>
          <w:sz w:val="20"/>
          <w:szCs w:val="20"/>
          <w:rtl w:val="0"/>
          <w:lang w:val="en-US"/>
        </w:rPr>
        <w:t>TSW review the learning objectives covering mitosis and meiosis for the review section of Friday</w:t>
      </w:r>
      <w:r>
        <w:rPr>
          <w:rFonts w:hAnsi="Arial" w:hint="default"/>
          <w:sz w:val="20"/>
          <w:szCs w:val="20"/>
          <w:rtl w:val="0"/>
          <w:lang w:val="en-US"/>
        </w:rPr>
        <w:t>’</w:t>
      </w:r>
      <w:r>
        <w:rPr>
          <w:rFonts w:ascii="Arial"/>
          <w:sz w:val="20"/>
          <w:szCs w:val="20"/>
          <w:rtl w:val="0"/>
          <w:lang w:val="en-US"/>
        </w:rPr>
        <w:t>s test (4bDOK2).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en-US"/>
        </w:rPr>
        <w:t>Assessment</w:t>
      </w:r>
      <w:r>
        <w:rPr>
          <w:rFonts w:ascii="Arial"/>
          <w:sz w:val="20"/>
          <w:szCs w:val="20"/>
          <w:rtl w:val="0"/>
          <w:lang w:val="en-US"/>
        </w:rPr>
        <w:t>:</w:t>
      </w:r>
    </w:p>
    <w:p>
      <w:pPr>
        <w:pStyle w:val="Normal"/>
        <w:rPr>
          <w:rFonts w:ascii="Arial" w:cs="Arial" w:hAnsi="Arial" w:eastAsia="Arial"/>
          <w:sz w:val="20"/>
          <w:szCs w:val="20"/>
        </w:rPr>
      </w:pPr>
      <w:r>
        <w:rPr>
          <w:rFonts w:ascii="Arial"/>
          <w:b w:val="1"/>
          <w:bCs w:val="1"/>
          <w:i w:val="1"/>
          <w:iCs w:val="1"/>
          <w:sz w:val="20"/>
          <w:szCs w:val="20"/>
          <w:rtl w:val="0"/>
          <w:lang w:val="en-US"/>
        </w:rPr>
        <w:t>Informal</w:t>
      </w:r>
      <w:r>
        <w:rPr>
          <w:rFonts w:ascii="Arial"/>
          <w:sz w:val="20"/>
          <w:szCs w:val="20"/>
          <w:rtl w:val="0"/>
          <w:lang w:val="en-US"/>
        </w:rPr>
        <w:t xml:space="preserve">: TTW assess student understanding of mitosis and meiosis learning objectives (C) by having students answer a series of station review questions and TTW walk around during the period observing student work (M). </w:t>
      </w:r>
    </w:p>
    <w:p>
      <w:pPr>
        <w:pStyle w:val="Normal"/>
      </w:pPr>
      <w:r>
        <w:rPr>
          <w:rFonts w:ascii="Arial"/>
          <w:b w:val="1"/>
          <w:bCs w:val="1"/>
          <w:i w:val="1"/>
          <w:iCs w:val="1"/>
          <w:sz w:val="20"/>
          <w:szCs w:val="20"/>
          <w:rtl w:val="0"/>
          <w:lang w:val="en-US"/>
        </w:rPr>
        <w:t>Formal</w:t>
      </w:r>
      <w:r>
        <w:rPr>
          <w:rFonts w:ascii="Arial"/>
          <w:sz w:val="20"/>
          <w:szCs w:val="20"/>
          <w:rtl w:val="0"/>
          <w:lang w:val="en-US"/>
        </w:rPr>
        <w:t>: A graded test will be given Friday (M) covering the mitosis and meiosis as review (C) and the grade will be recorded in the grade book (D).</w:t>
      </w:r>
    </w:p>
    <w:sectPr>
      <w:headerReference w:type="default" r:id="rId5"/>
      <w:footerReference w:type="default" r:id="rId6"/>
      <w:pgSz w:w="12240" w:h="15840" w:orient="portrait"/>
      <w:pgMar w:top="720" w:right="720" w:bottom="864" w:left="720" w:header="440" w:footer="58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1">
      <w:start w:val="1"/>
      <w:numFmt w:val="decimal"/>
      <w:suff w:val="tab"/>
      <w:lvlText w:val="%2.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decimal"/>
      <w:suff w:val="tab"/>
      <w:lvlText w:val="%2.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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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"/>
      <w:lvlJc w:val="left"/>
      <w:pPr/>
      <w:rPr>
        <w:color w:val="000000"/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decimal"/>
      <w:suff w:val="tab"/>
      <w:lvlText w:val="%2.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1">
      <w:start w:val="1"/>
      <w:numFmt w:val="bullet"/>
      <w:suff w:val="tab"/>
      <w:lvlText w:val="o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4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2">
      <w:start w:val="1"/>
      <w:numFmt w:val="bullet"/>
      <w:suff w:val="tab"/>
      <w:lvlText w:val=""/>
      <w:lvlJc w:val="left"/>
      <w:pPr/>
      <w:rPr>
        <w:color w:val="000000"/>
        <w:position w:val="0"/>
      </w:rPr>
    </w:lvl>
    <w:lvl w:ilvl="3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4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5">
      <w:start w:val="1"/>
      <w:numFmt w:val="bullet"/>
      <w:suff w:val="tab"/>
      <w:lvlText w:val=""/>
      <w:lvlJc w:val="left"/>
      <w:pPr/>
      <w:rPr>
        <w:color w:val="000000"/>
        <w:position w:val="0"/>
      </w:rPr>
    </w:lvl>
    <w:lvl w:ilvl="6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7">
      <w:start w:val="1"/>
      <w:numFmt w:val="bullet"/>
      <w:suff w:val="tab"/>
      <w:lvlText w:val="o"/>
      <w:lvlJc w:val="left"/>
      <w:pPr/>
      <w:rPr>
        <w:color w:val="000000"/>
        <w:position w:val="0"/>
      </w:rPr>
    </w:lvl>
    <w:lvl w:ilvl="8">
      <w:start w:val="1"/>
      <w:numFmt w:val="bullet"/>
      <w:suff w:val="tab"/>
      <w:lvlText w:val=""/>
      <w:lvlJc w:val="left"/>
      <w:pPr/>
      <w:rPr>
        <w:color w:val="000000"/>
        <w:position w:val="0"/>
      </w:rPr>
    </w:lvl>
  </w:abstractNum>
  <w:abstractNum w:abstractNumId="5">
    <w:multiLevelType w:val="multilevel"/>
    <w:styleLink w:val="List 1.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bullet"/>
      <w:suff w:val="tab"/>
      <w:lvlText w:val="o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6">
    <w:multiLevelType w:val="multilevel"/>
    <w:styleLink w:val="List 1.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bullet"/>
      <w:suff w:val="tab"/>
      <w:lvlText w:val="o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7">
    <w:multiLevelType w:val="multilevel"/>
    <w:styleLink w:val="List 1.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bullet"/>
      <w:suff w:val="tab"/>
      <w:lvlText w:val="o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8">
    <w:multiLevelType w:val="multilevel"/>
    <w:styleLink w:val="List 1.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bullet"/>
      <w:suff w:val="tab"/>
      <w:lvlText w:val="o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9">
    <w:multiLevelType w:val="multilevel"/>
    <w:styleLink w:val="List 1.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bullet"/>
      <w:suff w:val="tab"/>
      <w:lvlText w:val="o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10">
    <w:multiLevelType w:val="multilevel"/>
    <w:styleLink w:val="List 1.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bullet"/>
      <w:suff w:val="tab"/>
      <w:lvlText w:val="o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abstractNum w:abstractNumId="11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660"/>
          <w:tab w:val="clear" w:pos="0"/>
        </w:tabs>
        <w:ind w:left="66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1">
      <w:start w:val="1"/>
      <w:numFmt w:val="decimal"/>
      <w:suff w:val="tab"/>
      <w:lvlText w:val="%2."/>
      <w:lvlJc w:val="left"/>
      <w:pPr>
        <w:tabs>
          <w:tab w:val="num" w:pos="1380"/>
          <w:tab w:val="clear" w:pos="0"/>
        </w:tabs>
        <w:ind w:left="1380" w:hanging="300"/>
      </w:pPr>
      <w:rPr>
        <w:rFonts w:ascii="Arial" w:cs="Arial" w:hAnsi="Arial" w:eastAsia="Arial"/>
        <w:color w:val="808080"/>
        <w:position w:val="0"/>
        <w:sz w:val="20"/>
        <w:szCs w:val="20"/>
      </w:rPr>
    </w:lvl>
    <w:lvl w:ilvl="2">
      <w:start w:val="1"/>
      <w:numFmt w:val="bullet"/>
      <w:suff w:val="tab"/>
      <w:lvlText w:val=""/>
      <w:lvlJc w:val="left"/>
      <w:pPr>
        <w:tabs>
          <w:tab w:val="num" w:pos="2100"/>
          <w:tab w:val="clear" w:pos="0"/>
        </w:tabs>
        <w:ind w:left="21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3">
      <w:start w:val="1"/>
      <w:numFmt w:val="bullet"/>
      <w:suff w:val="tab"/>
      <w:lvlText w:val="•"/>
      <w:lvlJc w:val="left"/>
      <w:pPr>
        <w:tabs>
          <w:tab w:val="num" w:pos="2820"/>
          <w:tab w:val="clear" w:pos="0"/>
        </w:tabs>
        <w:ind w:left="28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  <w:tab w:val="clear" w:pos="0"/>
        </w:tabs>
        <w:ind w:left="354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5">
      <w:start w:val="1"/>
      <w:numFmt w:val="bullet"/>
      <w:suff w:val="tab"/>
      <w:lvlText w:val=""/>
      <w:lvlJc w:val="left"/>
      <w:pPr>
        <w:tabs>
          <w:tab w:val="num" w:pos="4260"/>
          <w:tab w:val="clear" w:pos="0"/>
        </w:tabs>
        <w:ind w:left="426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6">
      <w:start w:val="1"/>
      <w:numFmt w:val="bullet"/>
      <w:suff w:val="tab"/>
      <w:lvlText w:val="•"/>
      <w:lvlJc w:val="left"/>
      <w:pPr>
        <w:tabs>
          <w:tab w:val="num" w:pos="4980"/>
          <w:tab w:val="clear" w:pos="0"/>
        </w:tabs>
        <w:ind w:left="498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7">
      <w:start w:val="1"/>
      <w:numFmt w:val="bullet"/>
      <w:suff w:val="tab"/>
      <w:lvlText w:val="o"/>
      <w:lvlJc w:val="left"/>
      <w:pPr>
        <w:tabs>
          <w:tab w:val="num" w:pos="5700"/>
          <w:tab w:val="clear" w:pos="0"/>
        </w:tabs>
        <w:ind w:left="570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  <w:lvl w:ilvl="8">
      <w:start w:val="1"/>
      <w:numFmt w:val="bullet"/>
      <w:suff w:val="tab"/>
      <w:lvlText w:val=""/>
      <w:lvlJc w:val="left"/>
      <w:pPr>
        <w:tabs>
          <w:tab w:val="num" w:pos="6420"/>
          <w:tab w:val="clear" w:pos="0"/>
        </w:tabs>
        <w:ind w:left="6420" w:hanging="300"/>
      </w:pPr>
      <w:rPr>
        <w:rFonts w:ascii="Arial" w:cs="Arial" w:hAnsi="Arial" w:eastAsia="Arial"/>
        <w:color w:val="808080"/>
        <w:position w:val="0"/>
        <w:sz w:val="17"/>
        <w:szCs w:val="17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numbering" w:styleId="List 0">
    <w:name w:val="List 0"/>
    <w:basedOn w:val="List 1"/>
    <w:next w:val="List 0"/>
    <w:pPr>
      <w:numPr>
        <w:numId w:val="1"/>
      </w:numPr>
    </w:pPr>
  </w:style>
  <w:style w:type="numbering" w:styleId="List 1">
    <w:name w:val="List 1"/>
    <w:next w:val="List 1"/>
    <w:pPr>
      <w:numPr>
        <w:numId w:val="2"/>
      </w:numPr>
    </w:pPr>
  </w:style>
  <w:style w:type="numbering" w:styleId="List 1.0">
    <w:name w:val="List 1"/>
    <w:basedOn w:val="List 2"/>
    <w:next w:val="List 1.0"/>
    <w:pPr>
      <w:numPr>
        <w:numId w:val="4"/>
      </w:numPr>
    </w:pPr>
  </w:style>
  <w:style w:type="numbering" w:styleId="List 2">
    <w:name w:val="List 2"/>
    <w:next w:val="List 2"/>
    <w:pPr>
      <w:numPr>
        <w:numId w:val="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